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2F" w:rsidRDefault="005460A2">
      <w:r>
        <w:t>Karta pracy klasa 8a                                                                     Imię i nazwisko:</w:t>
      </w: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12327"/>
          <w:sz w:val="27"/>
          <w:szCs w:val="27"/>
        </w:rPr>
      </w:pPr>
      <w:r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  <w:t>Zapoznaj się z tekstem, a następnie wykonaj polecenia.</w:t>
      </w:r>
      <w:r>
        <w:rPr>
          <w:color w:val="212327"/>
          <w:sz w:val="27"/>
          <w:szCs w:val="27"/>
        </w:rPr>
        <w:br/>
      </w:r>
      <w:r>
        <w:rPr>
          <w:rStyle w:val="Uwydatnienie"/>
          <w:rFonts w:ascii="inherit" w:hAnsi="inherit"/>
          <w:color w:val="212327"/>
          <w:sz w:val="27"/>
          <w:szCs w:val="27"/>
          <w:bdr w:val="none" w:sz="0" w:space="0" w:color="auto" w:frame="1"/>
        </w:rPr>
        <w:t>Przed Sierpniem władza unikała aresztowań, zdając sobie sprawę, że nie zdławią one oporu, a wręcz przeciwnie – mogą go wzmocnić, wywołując dodatkowe protesty opinii publicznej na Zachodzie. Umiarkowane represje wynikały też z niedocenienia znaczenia ruchu. Aparat władzy, zajęty bogaceniem się, budowaniem willi i zakładaniem kont bankowych, przypisując innym swe pragnienia, był przekonany, że cały naród zajmuje się dorabianiem, składaniem na samochód, czekaniem na mieszkanie. Przedstawiciele aparatu nie mogli więc podejrzewać, że społeczeństwo przyjmie i uzna za swoje idee reprezentowane przez stosunkowo małe, walczące o prawa człowieka grupy. </w:t>
      </w:r>
      <w:r>
        <w:rPr>
          <w:color w:val="212327"/>
          <w:sz w:val="27"/>
          <w:szCs w:val="27"/>
        </w:rPr>
        <w:t>[...] </w:t>
      </w:r>
      <w:r>
        <w:rPr>
          <w:rStyle w:val="Uwydatnienie"/>
          <w:rFonts w:ascii="inherit" w:hAnsi="inherit"/>
          <w:color w:val="212327"/>
          <w:sz w:val="27"/>
          <w:szCs w:val="27"/>
          <w:bdr w:val="none" w:sz="0" w:space="0" w:color="auto" w:frame="1"/>
        </w:rPr>
        <w:t>Strajkowe lato 1980 stało się zaskoczeniem dla całego aparatu łącznie z uganiającymi się za opozycjonistami pracownikami bezpieczeństwa.</w:t>
      </w: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12327"/>
          <w:sz w:val="27"/>
          <w:szCs w:val="27"/>
        </w:rPr>
      </w:pPr>
      <w:r>
        <w:rPr>
          <w:color w:val="212327"/>
          <w:sz w:val="27"/>
          <w:szCs w:val="27"/>
        </w:rPr>
        <w:t>                Źródło: J. Lityński, </w:t>
      </w:r>
      <w:r>
        <w:rPr>
          <w:rStyle w:val="Uwydatnienie"/>
          <w:rFonts w:ascii="inherit" w:hAnsi="inherit"/>
          <w:color w:val="212327"/>
          <w:sz w:val="27"/>
          <w:szCs w:val="27"/>
          <w:bdr w:val="none" w:sz="0" w:space="0" w:color="auto" w:frame="1"/>
        </w:rPr>
        <w:t>Solidarność: problemy, znaki zapytania, próby odpowiedzi</w:t>
      </w:r>
      <w:r>
        <w:rPr>
          <w:color w:val="212327"/>
          <w:sz w:val="27"/>
          <w:szCs w:val="27"/>
        </w:rPr>
        <w:t>,                                                                                                              Warszawa 1984, s. 16.</w:t>
      </w:r>
    </w:p>
    <w:p w:rsidR="005460A2" w:rsidRDefault="005460A2" w:rsidP="005460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</w:pPr>
      <w:r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  <w:t>Podaj dwa czynniki, które prowadziły do ograniczania represji stosowanych wobec opozycjonistów z lat 70.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</w:rPr>
        <w:br/>
      </w:r>
      <w:r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  <w:t>B. Wyjaśnij, co według autora sprawiło, że strajki z 1980 r. zaskoczyły władze PRL.</w:t>
      </w: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</w:pP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</w:pP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12327"/>
          <w:sz w:val="27"/>
          <w:szCs w:val="27"/>
          <w:shd w:val="clear" w:color="auto" w:fill="FFFFFF"/>
        </w:rPr>
      </w:pPr>
      <w:r>
        <w:rPr>
          <w:rStyle w:val="Pogrubienie"/>
          <w:rFonts w:ascii="inherit" w:hAnsi="inherit"/>
          <w:color w:val="212327"/>
          <w:sz w:val="27"/>
          <w:szCs w:val="27"/>
          <w:bdr w:val="none" w:sz="0" w:space="0" w:color="auto" w:frame="1"/>
        </w:rPr>
        <w:t xml:space="preserve">2. </w:t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Rozwiń podane skróty.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  <w:shd w:val="clear" w:color="auto" w:fill="FFFFFF"/>
        </w:rPr>
        <w:t>WRON –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  <w:shd w:val="clear" w:color="auto" w:fill="FFFFFF"/>
        </w:rPr>
        <w:t>SB –</w:t>
      </w: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12327"/>
          <w:sz w:val="27"/>
          <w:szCs w:val="27"/>
          <w:shd w:val="clear" w:color="auto" w:fill="FFFFFF"/>
        </w:rPr>
      </w:pPr>
      <w:r>
        <w:rPr>
          <w:color w:val="212327"/>
          <w:sz w:val="27"/>
          <w:szCs w:val="27"/>
          <w:shd w:val="clear" w:color="auto" w:fill="FFFFFF"/>
        </w:rPr>
        <w:t>NSZZ –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  <w:shd w:val="clear" w:color="auto" w:fill="FFFFFF"/>
        </w:rPr>
        <w:t>WZZ –</w:t>
      </w: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12327"/>
          <w:sz w:val="27"/>
          <w:szCs w:val="27"/>
          <w:shd w:val="clear" w:color="auto" w:fill="FFFFFF"/>
        </w:rPr>
      </w:pPr>
      <w:r>
        <w:rPr>
          <w:color w:val="212327"/>
          <w:sz w:val="27"/>
          <w:szCs w:val="27"/>
          <w:shd w:val="clear" w:color="auto" w:fill="FFFFFF"/>
        </w:rPr>
        <w:t>TW –</w:t>
      </w:r>
      <w:r>
        <w:rPr>
          <w:color w:val="212327"/>
          <w:sz w:val="27"/>
          <w:szCs w:val="27"/>
        </w:rPr>
        <w:br/>
      </w:r>
      <w:proofErr w:type="spellStart"/>
      <w:r>
        <w:rPr>
          <w:color w:val="212327"/>
          <w:sz w:val="27"/>
          <w:szCs w:val="27"/>
          <w:shd w:val="clear" w:color="auto" w:fill="FFFFFF"/>
        </w:rPr>
        <w:t>ROPCiO</w:t>
      </w:r>
      <w:proofErr w:type="spellEnd"/>
      <w:r>
        <w:rPr>
          <w:color w:val="212327"/>
          <w:sz w:val="27"/>
          <w:szCs w:val="27"/>
          <w:shd w:val="clear" w:color="auto" w:fill="FFFFFF"/>
        </w:rPr>
        <w:t xml:space="preserve"> –</w:t>
      </w: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12327"/>
          <w:sz w:val="27"/>
          <w:szCs w:val="27"/>
          <w:shd w:val="clear" w:color="auto" w:fill="FFFFFF"/>
        </w:rPr>
      </w:pPr>
    </w:p>
    <w:p w:rsidR="005460A2" w:rsidRDefault="005460A2" w:rsidP="005460A2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color w:val="212327"/>
          <w:sz w:val="27"/>
          <w:szCs w:val="27"/>
          <w:shd w:val="clear" w:color="auto" w:fill="FFFFFF"/>
        </w:rPr>
        <w:t xml:space="preserve">3. </w:t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Przedstaw, w jaki sposób stan wojenny wpłynął na funkcjonowanie „Solidarności”.</w:t>
      </w:r>
      <w:r>
        <w:rPr>
          <w:color w:val="212327"/>
          <w:sz w:val="27"/>
          <w:szCs w:val="27"/>
        </w:rPr>
        <w:br/>
      </w:r>
    </w:p>
    <w:sectPr w:rsidR="005460A2" w:rsidSect="0060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9A2"/>
    <w:multiLevelType w:val="hybridMultilevel"/>
    <w:tmpl w:val="C7326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5E78"/>
    <w:multiLevelType w:val="hybridMultilevel"/>
    <w:tmpl w:val="F618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0A2"/>
    <w:rsid w:val="004D2368"/>
    <w:rsid w:val="005460A2"/>
    <w:rsid w:val="0060542F"/>
    <w:rsid w:val="007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0A2"/>
    <w:rPr>
      <w:b/>
      <w:bCs/>
    </w:rPr>
  </w:style>
  <w:style w:type="character" w:styleId="Uwydatnienie">
    <w:name w:val="Emphasis"/>
    <w:basedOn w:val="Domylnaczcionkaakapitu"/>
    <w:uiPriority w:val="20"/>
    <w:qFormat/>
    <w:rsid w:val="00546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2020-03-28T11:32:00Z</dcterms:created>
  <dcterms:modified xsi:type="dcterms:W3CDTF">2020-03-28T11:32:00Z</dcterms:modified>
</cp:coreProperties>
</file>